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方正小标宋_GBK" w:hAnsi="Times New Roman" w:eastAsia="方正小标宋_GBK" w:cs="Times New Roman"/>
          <w:sz w:val="48"/>
          <w:szCs w:val="48"/>
        </w:rPr>
      </w:pPr>
      <w:r>
        <w:rPr>
          <w:rFonts w:hint="eastAsia" w:ascii="方正小标宋_GBK" w:hAnsi="Times New Roman" w:eastAsia="方正小标宋_GBK" w:cs="Times New Roman"/>
          <w:sz w:val="48"/>
          <w:szCs w:val="48"/>
        </w:rPr>
        <w:t>重庆德勤物业管理有限公司</w:t>
      </w:r>
    </w:p>
    <w:p>
      <w:pPr>
        <w:pStyle w:val="2"/>
      </w:pPr>
    </w:p>
    <w:p>
      <w:pPr>
        <w:spacing w:line="600" w:lineRule="exact"/>
        <w:jc w:val="center"/>
        <w:rPr>
          <w:rFonts w:hint="eastAsia" w:ascii="方正小标宋_GBK" w:hAnsi="Times New Roman" w:eastAsia="方正小标宋_GBK" w:cs="Times New Roman"/>
          <w:sz w:val="48"/>
          <w:szCs w:val="48"/>
        </w:rPr>
      </w:pPr>
      <w:r>
        <w:rPr>
          <w:rFonts w:hint="eastAsia" w:ascii="方正小标宋_GBK" w:hAnsi="Times New Roman" w:eastAsia="方正小标宋_GBK" w:cs="Times New Roman"/>
          <w:sz w:val="48"/>
          <w:szCs w:val="48"/>
        </w:rPr>
        <w:t>2022年保安服务采购项目招议标文件</w:t>
      </w: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Times New Roman" w:hAnsi="Times New Roman" w:eastAsia="仿宋" w:cs="Times New Roman"/>
          <w:sz w:val="48"/>
          <w:szCs w:val="48"/>
        </w:rPr>
      </w:pPr>
    </w:p>
    <w:p>
      <w:pPr>
        <w:spacing w:line="600" w:lineRule="exact"/>
        <w:jc w:val="center"/>
        <w:rPr>
          <w:rFonts w:hint="eastAsia" w:ascii="方正小标宋_GBK" w:hAnsi="Times New Roman" w:eastAsia="方正小标宋_GBK" w:cs="Times New Roman"/>
          <w:sz w:val="48"/>
          <w:szCs w:val="48"/>
        </w:rPr>
      </w:pPr>
      <w:r>
        <w:rPr>
          <w:rFonts w:hint="eastAsia" w:ascii="方正小标宋_GBK" w:hAnsi="Times New Roman" w:eastAsia="方正小标宋_GBK" w:cs="Times New Roman"/>
          <w:sz w:val="48"/>
          <w:szCs w:val="48"/>
        </w:rPr>
        <w:t>2022年3月</w:t>
      </w:r>
    </w:p>
    <w:p>
      <w:pPr>
        <w:pStyle w:val="2"/>
        <w:rPr>
          <w:rFonts w:ascii="Times New Roman" w:hAnsi="Times New Roman" w:cs="Times New Roman"/>
        </w:rPr>
      </w:pPr>
      <w:r>
        <w:rPr>
          <w:rFonts w:ascii="Times New Roman" w:hAnsi="Times New Roman" w:cs="Times New Roman"/>
        </w:rPr>
        <w:br w:type="page"/>
      </w:r>
    </w:p>
    <w:p>
      <w:pPr>
        <w:pStyle w:val="2"/>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投标邀请书</w:t>
      </w:r>
    </w:p>
    <w:p>
      <w:pPr>
        <w:spacing w:line="600" w:lineRule="exact"/>
        <w:ind w:firstLine="640" w:firstLineChars="200"/>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公司</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重庆德勤物业管理有限公司（以下简称“甲方”）2022年保安服务外包采购项目特诚招有行业资质、背景，具有专业水准的公司（以下简称“投标人”）通我公司合作。资邀请合格投标人前来投标。</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招标项目名称：重庆德勤物业管理有限公司2022年保安服务外包采购项目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消息发布时间：</w:t>
      </w:r>
      <w:r>
        <w:rPr>
          <w:rFonts w:ascii="Times New Roman" w:hAnsi="Times New Roman" w:eastAsia="仿宋" w:cs="Times New Roman"/>
          <w:sz w:val="32"/>
          <w:szCs w:val="32"/>
          <w:highlight w:val="yellow"/>
        </w:rPr>
        <w:t>2022年3月</w:t>
      </w:r>
      <w:r>
        <w:rPr>
          <w:rFonts w:hint="eastAsia" w:ascii="Times New Roman" w:hAnsi="Times New Roman" w:eastAsia="仿宋" w:cs="Times New Roman"/>
          <w:sz w:val="32"/>
          <w:szCs w:val="32"/>
          <w:highlight w:val="yellow"/>
        </w:rPr>
        <w:t>9</w:t>
      </w:r>
      <w:r>
        <w:rPr>
          <w:rFonts w:ascii="Times New Roman" w:hAnsi="Times New Roman" w:eastAsia="仿宋" w:cs="Times New Roman"/>
          <w:sz w:val="32"/>
          <w:szCs w:val="32"/>
          <w:highlight w:val="yellow"/>
        </w:rPr>
        <w:t>日</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投标时间：定于</w:t>
      </w:r>
      <w:r>
        <w:rPr>
          <w:rFonts w:ascii="Times New Roman" w:hAnsi="Times New Roman" w:eastAsia="仿宋" w:cs="Times New Roman"/>
          <w:sz w:val="32"/>
          <w:szCs w:val="32"/>
          <w:highlight w:val="yellow"/>
        </w:rPr>
        <w:t>2022年3月16日</w:t>
      </w:r>
      <w:r>
        <w:rPr>
          <w:rFonts w:hint="eastAsia" w:ascii="Times New Roman" w:hAnsi="Times New Roman" w:eastAsia="仿宋" w:cs="Times New Roman"/>
          <w:sz w:val="32"/>
          <w:szCs w:val="32"/>
          <w:highlight w:val="yellow"/>
        </w:rPr>
        <w:t>上午0</w:t>
      </w:r>
      <w:r>
        <w:rPr>
          <w:rFonts w:ascii="Times New Roman" w:hAnsi="Times New Roman" w:eastAsia="仿宋" w:cs="Times New Roman"/>
          <w:sz w:val="32"/>
          <w:szCs w:val="32"/>
          <w:highlight w:val="yellow"/>
        </w:rPr>
        <w:t>9:30</w:t>
      </w:r>
      <w:r>
        <w:rPr>
          <w:rFonts w:ascii="Times New Roman" w:hAnsi="Times New Roman" w:eastAsia="仿宋" w:cs="Times New Roman"/>
          <w:sz w:val="32"/>
          <w:szCs w:val="32"/>
        </w:rPr>
        <w:t>（北京时间）</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投标地点：</w:t>
      </w:r>
      <w:r>
        <w:rPr>
          <w:rFonts w:hint="eastAsia" w:ascii="Times New Roman" w:hAnsi="Times New Roman" w:eastAsia="仿宋" w:cs="Times New Roman"/>
          <w:sz w:val="32"/>
          <w:szCs w:val="32"/>
        </w:rPr>
        <w:t>重庆市北碚区水土方正大道266号</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投标方式：投标人现场投标</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pStyle w:val="2"/>
        <w:rPr>
          <w:rFonts w:ascii="Times New Roman" w:hAnsi="Times New Roman" w:eastAsia="仿宋" w:cs="Times New Roman"/>
          <w:sz w:val="32"/>
          <w:szCs w:val="32"/>
        </w:rPr>
      </w:pPr>
    </w:p>
    <w:p>
      <w:pPr>
        <w:pStyle w:val="2"/>
        <w:rPr>
          <w:rFonts w:ascii="Times New Roman" w:hAnsi="Times New Roman" w:eastAsia="仿宋" w:cs="Times New Roman"/>
          <w:sz w:val="32"/>
          <w:szCs w:val="32"/>
        </w:rPr>
      </w:pPr>
      <w:bookmarkStart w:id="0" w:name="_GoBack"/>
      <w:bookmarkEnd w:id="0"/>
    </w:p>
    <w:p>
      <w:pPr>
        <w:spacing w:line="600" w:lineRule="exact"/>
        <w:ind w:firstLine="640" w:firstLineChars="200"/>
        <w:rPr>
          <w:rFonts w:ascii="Times New Roman" w:hAnsi="Times New Roman" w:eastAsia="仿宋" w:cs="Times New Roman"/>
          <w:sz w:val="32"/>
          <w:szCs w:val="32"/>
        </w:rPr>
      </w:pP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一、</w:t>
      </w:r>
      <w:r>
        <w:rPr>
          <w:rFonts w:ascii="黑体" w:hAnsi="黑体" w:eastAsia="黑体" w:cs="Times New Roman"/>
          <w:b/>
          <w:sz w:val="32"/>
          <w:szCs w:val="32"/>
        </w:rPr>
        <w:t>投标人资格要求</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必须是持牌经营企业</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具备良好企业信誉</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国家法律允许经营相关业务</w:t>
      </w:r>
      <w:r>
        <w:rPr>
          <w:rFonts w:hint="eastAsia" w:ascii="Times New Roman" w:hAnsi="Times New Roman" w:eastAsia="仿宋" w:cs="Times New Roman"/>
          <w:sz w:val="32"/>
          <w:szCs w:val="32"/>
        </w:rPr>
        <w:t>。</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二、</w:t>
      </w:r>
      <w:r>
        <w:rPr>
          <w:rFonts w:ascii="黑体" w:hAnsi="黑体" w:eastAsia="黑体" w:cs="Times New Roman"/>
          <w:b/>
          <w:sz w:val="32"/>
          <w:szCs w:val="32"/>
        </w:rPr>
        <w:t>项目要求及明细</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规范甲方重庆院安全管理的正规性，须按照甲方要求对重庆院安全管理进行服务。</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投标最高限价：</w:t>
      </w:r>
      <w:r>
        <w:rPr>
          <w:rFonts w:hint="eastAsia" w:ascii="Times New Roman" w:hAnsi="Times New Roman" w:eastAsia="仿宋" w:cs="Times New Roman"/>
          <w:sz w:val="32"/>
          <w:szCs w:val="32"/>
          <w:highlight w:val="yellow"/>
        </w:rPr>
        <w:t>130万</w:t>
      </w:r>
      <w:r>
        <w:rPr>
          <w:rFonts w:ascii="Times New Roman" w:hAnsi="Times New Roman" w:eastAsia="仿宋" w:cs="Times New Roman"/>
          <w:sz w:val="32"/>
          <w:szCs w:val="32"/>
          <w:highlight w:val="yellow"/>
        </w:rPr>
        <w:t>元</w:t>
      </w:r>
      <w:r>
        <w:rPr>
          <w:rFonts w:hint="eastAsia" w:ascii="Times New Roman" w:hAnsi="Times New Roman" w:eastAsia="仿宋" w:cs="Times New Roman"/>
          <w:sz w:val="32"/>
          <w:szCs w:val="32"/>
          <w:highlight w:val="yellow"/>
        </w:rPr>
        <w:t>/年</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本次招标具体要求详见附件二。</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三、</w:t>
      </w:r>
      <w:r>
        <w:rPr>
          <w:rFonts w:ascii="黑体" w:hAnsi="黑体" w:eastAsia="黑体" w:cs="Times New Roman"/>
          <w:b/>
          <w:sz w:val="32"/>
          <w:szCs w:val="32"/>
        </w:rPr>
        <w:t>投标付款说明</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服务范围：详见附件二</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服务期限：2022年4月1日至2025年3月31日</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合同一年一签，本年度服务完成后由甲方对投标人服务进行考核，考核完成并通过后方可签订下一年度服务合同。</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付款方式</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服务费采用按月支付方式。工作满一月后，甲方按照合同约定对供应商工作进行考核，并按考核结果计算服务费用（服务费=中标金额</w:t>
      </w:r>
      <w:r>
        <w:rPr>
          <w:rFonts w:ascii="仿宋" w:hAnsi="仿宋" w:eastAsia="仿宋" w:cs="Times New Roman"/>
          <w:sz w:val="32"/>
          <w:szCs w:val="32"/>
        </w:rPr>
        <w:t>÷</w:t>
      </w:r>
      <w:r>
        <w:rPr>
          <w:rFonts w:ascii="Times New Roman" w:hAnsi="Times New Roman" w:eastAsia="仿宋" w:cs="Times New Roman"/>
          <w:sz w:val="32"/>
          <w:szCs w:val="32"/>
        </w:rPr>
        <w:t>12</w:t>
      </w:r>
      <w:r>
        <w:rPr>
          <w:rFonts w:ascii="仿宋" w:hAnsi="仿宋" w:eastAsia="仿宋" w:cs="Times New Roman"/>
          <w:sz w:val="32"/>
          <w:szCs w:val="32"/>
        </w:rPr>
        <w:t>-</w:t>
      </w:r>
      <w:r>
        <w:rPr>
          <w:rFonts w:ascii="Times New Roman" w:hAnsi="Times New Roman" w:eastAsia="仿宋" w:cs="Times New Roman"/>
          <w:sz w:val="32"/>
          <w:szCs w:val="32"/>
        </w:rPr>
        <w:t>当月考核扣款）。甲方于次月的15日之前</w:t>
      </w:r>
      <w:r>
        <w:rPr>
          <w:rFonts w:hint="eastAsia" w:ascii="Times New Roman" w:hAnsi="Times New Roman" w:eastAsia="仿宋" w:cs="Times New Roman"/>
          <w:sz w:val="32"/>
          <w:szCs w:val="32"/>
        </w:rPr>
        <w:t>（</w:t>
      </w:r>
      <w:r>
        <w:rPr>
          <w:rFonts w:ascii="Times New Roman" w:hAnsi="Times New Roman" w:eastAsia="仿宋" w:cs="Times New Roman"/>
          <w:sz w:val="32"/>
          <w:szCs w:val="32"/>
        </w:rPr>
        <w:t>双休日或国家法定节假日顺延</w:t>
      </w:r>
      <w:r>
        <w:rPr>
          <w:rFonts w:hint="eastAsia" w:ascii="Times New Roman" w:hAnsi="Times New Roman" w:eastAsia="仿宋" w:cs="Times New Roman"/>
          <w:sz w:val="32"/>
          <w:szCs w:val="32"/>
        </w:rPr>
        <w:t>）</w:t>
      </w:r>
      <w:r>
        <w:rPr>
          <w:rFonts w:ascii="Times New Roman" w:hAnsi="Times New Roman" w:eastAsia="仿宋" w:cs="Times New Roman"/>
          <w:sz w:val="32"/>
          <w:szCs w:val="32"/>
        </w:rPr>
        <w:t>办理上月结算并按照程序办理上月服务费用支付手续。支付方式：银行转账。</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四、</w:t>
      </w:r>
      <w:r>
        <w:rPr>
          <w:rFonts w:ascii="黑体" w:hAnsi="黑体" w:eastAsia="黑体" w:cs="Times New Roman"/>
          <w:b/>
          <w:sz w:val="32"/>
          <w:szCs w:val="32"/>
        </w:rPr>
        <w:t>投标价格说明</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投标价格包含附件二中服务范围内保安及其相关服务所有费用（一年期）。包括但不限于员工工资、其他福利（含社会保险费、其他保险、福利费、加班费、通讯费、服装费等）、工具费（含低值易耗品等）、水电费、设备及折旧费（含项目用设备、油耗、维修、清洁等）、公众责任险、管理费、税费、合理利润以及因服务作业引起的各方财产损失、各方人员的伤、病、亡事故损失、一次性经济补偿金和其他各种不可预见损失等所有费用。</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五、</w:t>
      </w:r>
      <w:r>
        <w:rPr>
          <w:rFonts w:ascii="黑体" w:hAnsi="黑体" w:eastAsia="黑体" w:cs="Times New Roman"/>
          <w:b/>
          <w:sz w:val="32"/>
          <w:szCs w:val="32"/>
        </w:rPr>
        <w:t>投标文件内容</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投标委托书</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如投标人由委托代理人进行投标，委托代理人应有法定代表人签署的授权委托书，且加盖投标公司公章</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投标资格证明文件（须法定代表人或其授权的代理人签字及加盖公司公章）</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营业执照复印件一份</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税务登记证复印件一份</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其它企业及行业资质文件</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法定代表人或委托代理人的身份证复印件（格式详见附件四及附件五）</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投标人资格审查信息（格式详见附件六）</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六、</w:t>
      </w:r>
      <w:r>
        <w:rPr>
          <w:rFonts w:ascii="黑体" w:hAnsi="黑体" w:eastAsia="黑体" w:cs="Times New Roman"/>
          <w:b/>
          <w:sz w:val="32"/>
          <w:szCs w:val="32"/>
        </w:rPr>
        <w:t>投标文件密封、投标方式、投标时间、投标地点</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投标文件装入</w:t>
      </w:r>
      <w:r>
        <w:rPr>
          <w:rFonts w:hint="eastAsia" w:ascii="Times New Roman" w:hAnsi="Times New Roman" w:eastAsia="仿宋" w:cs="Times New Roman"/>
          <w:sz w:val="32"/>
          <w:szCs w:val="32"/>
        </w:rPr>
        <w:t>“</w:t>
      </w:r>
      <w:r>
        <w:rPr>
          <w:rFonts w:ascii="Times New Roman" w:hAnsi="Times New Roman" w:eastAsia="仿宋" w:cs="Times New Roman"/>
          <w:sz w:val="32"/>
          <w:szCs w:val="32"/>
        </w:rPr>
        <w:t>投标文件袋</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中，</w:t>
      </w:r>
      <w:r>
        <w:rPr>
          <w:rFonts w:hint="eastAsia" w:ascii="Times New Roman" w:hAnsi="Times New Roman" w:eastAsia="仿宋" w:cs="Times New Roman"/>
          <w:sz w:val="32"/>
          <w:szCs w:val="32"/>
        </w:rPr>
        <w:t>“</w:t>
      </w:r>
      <w:r>
        <w:rPr>
          <w:rFonts w:ascii="Times New Roman" w:hAnsi="Times New Roman" w:eastAsia="仿宋" w:cs="Times New Roman"/>
          <w:sz w:val="32"/>
          <w:szCs w:val="32"/>
        </w:rPr>
        <w:t>投标文件袋</w:t>
      </w:r>
      <w:r>
        <w:rPr>
          <w:rFonts w:hint="eastAsia" w:ascii="Times New Roman" w:hAnsi="Times New Roman" w:eastAsia="仿宋" w:cs="Times New Roman"/>
          <w:sz w:val="32"/>
          <w:szCs w:val="32"/>
        </w:rPr>
        <w:t>”</w:t>
      </w:r>
      <w:r>
        <w:rPr>
          <w:rFonts w:ascii="Times New Roman" w:hAnsi="Times New Roman" w:eastAsia="仿宋" w:cs="Times New Roman"/>
          <w:sz w:val="32"/>
          <w:szCs w:val="32"/>
        </w:rPr>
        <w:t>必须是完好无损的，完全密封后并在大袋上加盖投标人公司公章（一个正本，两个副本）。同时</w:t>
      </w:r>
      <w:r>
        <w:rPr>
          <w:rFonts w:hint="eastAsia" w:ascii="Times New Roman" w:hAnsi="Times New Roman" w:eastAsia="仿宋" w:cs="Times New Roman"/>
          <w:sz w:val="32"/>
          <w:szCs w:val="32"/>
        </w:rPr>
        <w:t>“</w:t>
      </w:r>
      <w:r>
        <w:rPr>
          <w:rFonts w:ascii="Times New Roman" w:hAnsi="Times New Roman" w:eastAsia="仿宋" w:cs="Times New Roman"/>
          <w:sz w:val="32"/>
          <w:szCs w:val="32"/>
        </w:rPr>
        <w:t>投标文件袋</w:t>
      </w:r>
      <w:r>
        <w:rPr>
          <w:rFonts w:hint="eastAsia" w:ascii="Times New Roman" w:hAnsi="Times New Roman" w:eastAsia="仿宋" w:cs="Times New Roman"/>
          <w:sz w:val="32"/>
          <w:szCs w:val="32"/>
        </w:rPr>
        <w:t>”</w:t>
      </w:r>
      <w:r>
        <w:rPr>
          <w:rFonts w:ascii="Times New Roman" w:hAnsi="Times New Roman" w:eastAsia="仿宋" w:cs="Times New Roman"/>
          <w:sz w:val="32"/>
          <w:szCs w:val="32"/>
        </w:rPr>
        <w:t>应写明：投标人的名称和地址</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在2022年3月16日</w:t>
      </w:r>
      <w:r>
        <w:rPr>
          <w:rFonts w:hint="eastAsia" w:ascii="Times New Roman" w:hAnsi="Times New Roman" w:eastAsia="仿宋" w:cs="Times New Roman"/>
          <w:sz w:val="32"/>
          <w:szCs w:val="32"/>
          <w:highlight w:val="yellow"/>
        </w:rPr>
        <w:t>上午</w:t>
      </w:r>
      <w:r>
        <w:rPr>
          <w:rFonts w:hint="eastAsia" w:ascii="Times New Roman" w:hAnsi="Times New Roman" w:eastAsia="仿宋" w:cs="Times New Roman"/>
          <w:sz w:val="32"/>
          <w:szCs w:val="32"/>
        </w:rPr>
        <w:t>0</w:t>
      </w:r>
      <w:r>
        <w:rPr>
          <w:rFonts w:ascii="Times New Roman" w:hAnsi="Times New Roman" w:eastAsia="仿宋" w:cs="Times New Roman"/>
          <w:sz w:val="32"/>
          <w:szCs w:val="32"/>
        </w:rPr>
        <w:t>9:30时</w:t>
      </w:r>
      <w:r>
        <w:rPr>
          <w:rFonts w:hint="eastAsia" w:ascii="Times New Roman" w:hAnsi="Times New Roman" w:eastAsia="仿宋" w:cs="Times New Roman"/>
          <w:sz w:val="32"/>
          <w:szCs w:val="32"/>
        </w:rPr>
        <w:t>（</w:t>
      </w:r>
      <w:r>
        <w:rPr>
          <w:rFonts w:ascii="Times New Roman" w:hAnsi="Times New Roman" w:eastAsia="仿宋" w:cs="Times New Roman"/>
          <w:sz w:val="32"/>
          <w:szCs w:val="32"/>
        </w:rPr>
        <w:t>规定的开标日期和时间</w:t>
      </w:r>
      <w:r>
        <w:rPr>
          <w:rFonts w:hint="eastAsia" w:ascii="Times New Roman" w:hAnsi="Times New Roman" w:eastAsia="仿宋" w:cs="Times New Roman"/>
          <w:sz w:val="32"/>
          <w:szCs w:val="32"/>
        </w:rPr>
        <w:t>）</w:t>
      </w:r>
      <w:r>
        <w:rPr>
          <w:rFonts w:ascii="Times New Roman" w:hAnsi="Times New Roman" w:eastAsia="仿宋" w:cs="Times New Roman"/>
          <w:sz w:val="32"/>
          <w:szCs w:val="32"/>
        </w:rPr>
        <w:t>前不准启封，否则无效。</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项目名称：重庆德勤物业管理有限公司2022年保安服务外包采购项目投标文件</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投标方式：投标人现场投标</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投标时间：</w:t>
      </w:r>
      <w:r>
        <w:rPr>
          <w:rFonts w:ascii="Times New Roman" w:hAnsi="Times New Roman" w:eastAsia="仿宋" w:cs="Times New Roman"/>
          <w:sz w:val="32"/>
          <w:szCs w:val="32"/>
          <w:u w:val="single"/>
        </w:rPr>
        <w:t>2022年3月16日（星期三）</w:t>
      </w:r>
      <w:r>
        <w:rPr>
          <w:rFonts w:hint="eastAsia" w:ascii="Times New Roman" w:hAnsi="Times New Roman" w:eastAsia="仿宋" w:cs="Times New Roman"/>
          <w:sz w:val="32"/>
          <w:szCs w:val="32"/>
          <w:highlight w:val="yellow"/>
          <w:u w:val="single"/>
        </w:rPr>
        <w:t>上午</w:t>
      </w:r>
      <w:r>
        <w:rPr>
          <w:rFonts w:hint="eastAsia" w:ascii="Times New Roman" w:hAnsi="Times New Roman" w:eastAsia="仿宋" w:cs="Times New Roman"/>
          <w:sz w:val="32"/>
          <w:szCs w:val="32"/>
          <w:u w:val="single"/>
        </w:rPr>
        <w:t>0</w:t>
      </w:r>
      <w:r>
        <w:rPr>
          <w:rFonts w:ascii="Times New Roman" w:hAnsi="Times New Roman" w:eastAsia="仿宋" w:cs="Times New Roman"/>
          <w:sz w:val="32"/>
          <w:szCs w:val="32"/>
          <w:u w:val="single"/>
        </w:rPr>
        <w:t>9:30时（北京时间）</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投标地点：</w:t>
      </w:r>
      <w:r>
        <w:rPr>
          <w:rFonts w:ascii="Times New Roman" w:hAnsi="Times New Roman" w:eastAsia="仿宋" w:cs="Times New Roman"/>
          <w:sz w:val="32"/>
          <w:szCs w:val="32"/>
          <w:u w:val="single"/>
        </w:rPr>
        <w:t>重庆市北碚区水土高新技术产业园方正大道266号中国科学院重庆绿色智能</w:t>
      </w:r>
      <w:r>
        <w:rPr>
          <w:rFonts w:hint="eastAsia" w:ascii="Times New Roman" w:hAnsi="Times New Roman" w:eastAsia="仿宋" w:cs="Times New Roman"/>
          <w:sz w:val="32"/>
          <w:szCs w:val="32"/>
          <w:u w:val="single"/>
        </w:rPr>
        <w:t>技术</w:t>
      </w:r>
      <w:r>
        <w:rPr>
          <w:rFonts w:ascii="Times New Roman" w:hAnsi="Times New Roman" w:eastAsia="仿宋" w:cs="Times New Roman"/>
          <w:sz w:val="32"/>
          <w:szCs w:val="32"/>
          <w:u w:val="single"/>
        </w:rPr>
        <w:t>研究院综合楼1120室</w:t>
      </w:r>
      <w:r>
        <w:rPr>
          <w:rFonts w:hint="eastAsia" w:ascii="Times New Roman" w:hAnsi="Times New Roman" w:eastAsia="仿宋" w:cs="Times New Roman"/>
          <w:sz w:val="32"/>
          <w:szCs w:val="32"/>
        </w:rPr>
        <w:t>。</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七、</w:t>
      </w:r>
      <w:r>
        <w:rPr>
          <w:rFonts w:ascii="黑体" w:hAnsi="黑体" w:eastAsia="黑体" w:cs="Times New Roman"/>
          <w:b/>
          <w:sz w:val="32"/>
          <w:szCs w:val="32"/>
        </w:rPr>
        <w:t>投标保证金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参与投标的投标人需缴纳</w:t>
      </w:r>
      <w:r>
        <w:rPr>
          <w:rFonts w:ascii="Times New Roman" w:hAnsi="Times New Roman" w:eastAsia="仿宋" w:cs="Times New Roman"/>
          <w:sz w:val="32"/>
          <w:szCs w:val="32"/>
          <w:highlight w:val="yellow"/>
        </w:rPr>
        <w:t>20000.00元</w:t>
      </w:r>
      <w:r>
        <w:rPr>
          <w:rFonts w:ascii="Times New Roman" w:hAnsi="Times New Roman" w:eastAsia="仿宋" w:cs="Times New Roman"/>
          <w:sz w:val="32"/>
          <w:szCs w:val="32"/>
        </w:rPr>
        <w:t>（人民币大写：贰万元）</w:t>
      </w:r>
      <w:r>
        <w:rPr>
          <w:rFonts w:hint="eastAsia" w:ascii="Times New Roman" w:hAnsi="Times New Roman" w:eastAsia="仿宋" w:cs="Times New Roman"/>
          <w:sz w:val="32"/>
          <w:szCs w:val="32"/>
        </w:rPr>
        <w:t>投标</w:t>
      </w:r>
      <w:r>
        <w:rPr>
          <w:rFonts w:ascii="Times New Roman" w:hAnsi="Times New Roman" w:eastAsia="仿宋" w:cs="Times New Roman"/>
          <w:sz w:val="32"/>
          <w:szCs w:val="32"/>
        </w:rPr>
        <w:t>保证金。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投标保证金交款形式及要求</w:t>
      </w:r>
      <w:r>
        <w:rPr>
          <w:rFonts w:hint="eastAsia" w:ascii="Times New Roman" w:hAnsi="Times New Roman" w:eastAsia="仿宋" w:cs="Times New Roman"/>
          <w:sz w:val="32"/>
          <w:szCs w:val="32"/>
        </w:rPr>
        <w:t>：</w:t>
      </w:r>
      <w:r>
        <w:rPr>
          <w:rFonts w:ascii="Times New Roman" w:hAnsi="Times New Roman" w:eastAsia="仿宋" w:cs="Times New Roman"/>
          <w:sz w:val="32"/>
          <w:szCs w:val="32"/>
        </w:rPr>
        <w:t>投标人从企业的基本账户（开户行），在递交投标文件截止时间2小时前，通过转账支票直接划付或以电汇方式直接划付，并自行考虑汇入时间风险，如同城汇入、异地汇入、跨行汇入的时间要求。未能按要求缴纳投标保证金投标人无权参加投标。</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提交截止时间：2022年3月16日</w:t>
      </w:r>
      <w:r>
        <w:rPr>
          <w:rFonts w:hint="eastAsia" w:ascii="Times New Roman" w:hAnsi="Times New Roman" w:eastAsia="仿宋" w:cs="Times New Roman"/>
          <w:sz w:val="32"/>
          <w:szCs w:val="32"/>
        </w:rPr>
        <w:t>上午0</w:t>
      </w:r>
      <w:r>
        <w:rPr>
          <w:rFonts w:ascii="Times New Roman" w:hAnsi="Times New Roman" w:eastAsia="仿宋" w:cs="Times New Roman"/>
          <w:sz w:val="32"/>
          <w:szCs w:val="32"/>
        </w:rPr>
        <w:t>9</w:t>
      </w:r>
      <w:r>
        <w:rPr>
          <w:rFonts w:hint="eastAsia" w:ascii="Times New Roman" w:hAnsi="Times New Roman" w:eastAsia="仿宋" w:cs="Times New Roman"/>
          <w:sz w:val="32"/>
          <w:szCs w:val="32"/>
        </w:rPr>
        <w:t>:</w:t>
      </w:r>
      <w:r>
        <w:rPr>
          <w:rFonts w:ascii="Times New Roman" w:hAnsi="Times New Roman" w:eastAsia="仿宋" w:cs="Times New Roman"/>
          <w:sz w:val="32"/>
          <w:szCs w:val="32"/>
        </w:rPr>
        <w:t>00时前（以到账时间为准）</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投标人需在2022年3月16日</w:t>
      </w:r>
      <w:r>
        <w:rPr>
          <w:rFonts w:hint="eastAsia" w:ascii="Times New Roman" w:hAnsi="Times New Roman" w:eastAsia="仿宋" w:cs="Times New Roman"/>
          <w:sz w:val="32"/>
          <w:szCs w:val="32"/>
        </w:rPr>
        <w:t>上午0</w:t>
      </w:r>
      <w:r>
        <w:rPr>
          <w:rFonts w:ascii="Times New Roman" w:hAnsi="Times New Roman" w:eastAsia="仿宋" w:cs="Times New Roman"/>
          <w:sz w:val="32"/>
          <w:szCs w:val="32"/>
        </w:rPr>
        <w:t>9:30时前向甲方提交投标保证金付款凭证。提交方式：扫描件的方式发送至</w:t>
      </w:r>
      <w:r>
        <w:rPr>
          <w:rFonts w:ascii="Times New Roman" w:hAnsi="Times New Roman" w:eastAsia="仿宋" w:cs="Times New Roman"/>
          <w:sz w:val="32"/>
          <w:szCs w:val="32"/>
          <w:u w:val="single"/>
        </w:rPr>
        <w:t>amyyu37510096@163.com</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八、</w:t>
      </w:r>
      <w:r>
        <w:rPr>
          <w:rFonts w:ascii="黑体" w:hAnsi="黑体" w:eastAsia="黑体" w:cs="Times New Roman"/>
          <w:b/>
          <w:sz w:val="32"/>
          <w:szCs w:val="32"/>
        </w:rPr>
        <w:t>投标费用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投标人应承担所有与准备和参加投标有关的费用。无论投标结果如何，甲方对上述费用不承担任何义务和责任。经甲方的允许，投标公司可以对甲方进行考察。投标公司为准备投标文件、讲解标书和签署合同收集资料及考察现场所需的费用有投标公司自行承担。（无论中标与否，投标书概不退还）</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九、</w:t>
      </w:r>
      <w:r>
        <w:rPr>
          <w:rFonts w:ascii="黑体" w:hAnsi="黑体" w:eastAsia="黑体" w:cs="Times New Roman"/>
          <w:b/>
          <w:sz w:val="32"/>
          <w:szCs w:val="32"/>
        </w:rPr>
        <w:t>投标文件答疑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投标人如对招标文件有质疑，必须在2022年3月10日12:00 时前（北京时间，以下同）提出，过期不再受理。</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甲方在2022年3月11日11:00时前对所有投标人提出的问题进行书面澄清答疑并作为招标文件的补充部分，投标人在开标前因</w:t>
      </w:r>
      <w:r>
        <w:rPr>
          <w:rFonts w:hint="eastAsia" w:ascii="Times New Roman" w:hAnsi="Times New Roman" w:eastAsia="仿宋" w:cs="Times New Roman"/>
          <w:sz w:val="32"/>
          <w:szCs w:val="32"/>
        </w:rPr>
        <w:t>未</w:t>
      </w:r>
      <w:r>
        <w:rPr>
          <w:rFonts w:ascii="Times New Roman" w:hAnsi="Times New Roman" w:eastAsia="仿宋" w:cs="Times New Roman"/>
          <w:sz w:val="32"/>
          <w:szCs w:val="32"/>
        </w:rPr>
        <w:t>提出质疑至未获得答疑而产生的一切后果由投标人自负</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答疑联系方式</w:t>
      </w:r>
    </w:p>
    <w:p>
      <w:pPr>
        <w:spacing w:line="600"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 xml:space="preserve">联系人：于远芹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电话：18580060828</w:t>
      </w:r>
    </w:p>
    <w:p>
      <w:pPr>
        <w:spacing w:line="600"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联系人：黄</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鑫   电话：13609464723</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十、</w:t>
      </w:r>
      <w:r>
        <w:rPr>
          <w:rFonts w:ascii="黑体" w:hAnsi="黑体" w:eastAsia="黑体" w:cs="Times New Roman"/>
          <w:b/>
          <w:sz w:val="32"/>
          <w:szCs w:val="32"/>
        </w:rPr>
        <w:t>评标原则</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评标活动遵循公平、公正、科学和择优的原则。</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评标办法</w:t>
      </w:r>
      <w:r>
        <w:rPr>
          <w:rFonts w:hint="eastAsia" w:ascii="Times New Roman" w:hAnsi="Times New Roman" w:eastAsia="仿宋" w:cs="Times New Roman"/>
          <w:sz w:val="32"/>
          <w:szCs w:val="32"/>
        </w:rPr>
        <w:t>：</w:t>
      </w:r>
      <w:r>
        <w:rPr>
          <w:rFonts w:ascii="Times New Roman" w:hAnsi="Times New Roman" w:eastAsia="仿宋" w:cs="Times New Roman"/>
          <w:sz w:val="32"/>
          <w:szCs w:val="32"/>
        </w:rPr>
        <w:t>对满足招标文件实质性要求的投保文件，按照综合评分</w:t>
      </w:r>
      <w:r>
        <w:rPr>
          <w:rFonts w:hint="eastAsia" w:ascii="Times New Roman" w:hAnsi="Times New Roman" w:eastAsia="仿宋" w:cs="Times New Roman"/>
          <w:sz w:val="32"/>
          <w:szCs w:val="32"/>
        </w:rPr>
        <w:t>法</w:t>
      </w:r>
      <w:r>
        <w:rPr>
          <w:rFonts w:ascii="Times New Roman" w:hAnsi="Times New Roman" w:eastAsia="仿宋" w:cs="Times New Roman"/>
          <w:sz w:val="32"/>
          <w:szCs w:val="32"/>
        </w:rPr>
        <w:t>（商务评分+技术评分）高低顺序确定中标人</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highlight w:val="yellow"/>
        </w:rPr>
        <w:t>评审</w:t>
      </w:r>
      <w:r>
        <w:rPr>
          <w:rFonts w:ascii="Times New Roman" w:hAnsi="Times New Roman" w:eastAsia="仿宋" w:cs="Times New Roman"/>
          <w:sz w:val="32"/>
          <w:szCs w:val="32"/>
        </w:rPr>
        <w:t>分值保留小数点后两位。投标总评分相等时，由甲方根据技术评标结果综合评定后确定中标候选人。</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029"/>
        <w:gridCol w:w="5571"/>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pPr>
              <w:spacing w:line="440" w:lineRule="exact"/>
              <w:jc w:val="center"/>
              <w:rPr>
                <w:rFonts w:ascii="仿宋" w:hAnsi="仿宋" w:eastAsia="仿宋"/>
                <w:sz w:val="32"/>
                <w:szCs w:val="32"/>
              </w:rPr>
            </w:pPr>
            <w:r>
              <w:rPr>
                <w:rFonts w:ascii="仿宋" w:hAnsi="仿宋" w:eastAsia="仿宋"/>
                <w:sz w:val="32"/>
                <w:szCs w:val="32"/>
              </w:rPr>
              <w:t>序号</w:t>
            </w:r>
          </w:p>
        </w:tc>
        <w:tc>
          <w:tcPr>
            <w:tcW w:w="1029" w:type="dxa"/>
            <w:vAlign w:val="center"/>
          </w:tcPr>
          <w:p>
            <w:pPr>
              <w:spacing w:line="440" w:lineRule="exact"/>
              <w:jc w:val="center"/>
              <w:rPr>
                <w:rFonts w:ascii="仿宋" w:hAnsi="仿宋" w:eastAsia="仿宋"/>
                <w:sz w:val="32"/>
                <w:szCs w:val="32"/>
              </w:rPr>
            </w:pPr>
            <w:r>
              <w:rPr>
                <w:rFonts w:ascii="仿宋" w:hAnsi="仿宋" w:eastAsia="仿宋"/>
                <w:sz w:val="32"/>
                <w:szCs w:val="32"/>
              </w:rPr>
              <w:t>名称</w:t>
            </w:r>
          </w:p>
        </w:tc>
        <w:tc>
          <w:tcPr>
            <w:tcW w:w="5571" w:type="dxa"/>
            <w:vAlign w:val="center"/>
          </w:tcPr>
          <w:p>
            <w:pPr>
              <w:spacing w:line="440" w:lineRule="exact"/>
              <w:jc w:val="center"/>
              <w:rPr>
                <w:rFonts w:ascii="仿宋" w:hAnsi="仿宋" w:eastAsia="仿宋"/>
                <w:sz w:val="32"/>
                <w:szCs w:val="32"/>
              </w:rPr>
            </w:pPr>
            <w:r>
              <w:rPr>
                <w:rFonts w:ascii="仿宋" w:hAnsi="仿宋" w:eastAsia="仿宋"/>
                <w:sz w:val="32"/>
                <w:szCs w:val="32"/>
              </w:rPr>
              <w:t>评分标准</w:t>
            </w:r>
          </w:p>
        </w:tc>
        <w:tc>
          <w:tcPr>
            <w:tcW w:w="1015" w:type="dxa"/>
            <w:vAlign w:val="center"/>
          </w:tcPr>
          <w:p>
            <w:pPr>
              <w:spacing w:line="440" w:lineRule="exact"/>
              <w:jc w:val="center"/>
              <w:rPr>
                <w:rFonts w:ascii="仿宋" w:hAnsi="仿宋" w:eastAsia="仿宋"/>
                <w:sz w:val="32"/>
                <w:szCs w:val="32"/>
              </w:rPr>
            </w:pPr>
            <w:r>
              <w:rPr>
                <w:rFonts w:ascii="仿宋" w:hAnsi="仿宋" w:eastAsia="仿宋"/>
                <w:sz w:val="32"/>
                <w:szCs w:val="32"/>
              </w:rPr>
              <w:t>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atLeast"/>
          <w:jc w:val="center"/>
        </w:trPr>
        <w:tc>
          <w:tcPr>
            <w:tcW w:w="907" w:type="dxa"/>
            <w:vAlign w:val="center"/>
          </w:tcPr>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r>
              <w:rPr>
                <w:rFonts w:ascii="仿宋" w:hAnsi="仿宋" w:eastAsia="仿宋"/>
                <w:sz w:val="32"/>
                <w:szCs w:val="32"/>
              </w:rPr>
              <w:t>1</w:t>
            </w:r>
          </w:p>
        </w:tc>
        <w:tc>
          <w:tcPr>
            <w:tcW w:w="1029" w:type="dxa"/>
            <w:vAlign w:val="center"/>
          </w:tcPr>
          <w:p>
            <w:pPr>
              <w:spacing w:line="440" w:lineRule="exact"/>
              <w:jc w:val="center"/>
              <w:rPr>
                <w:rFonts w:ascii="仿宋" w:hAnsi="仿宋" w:eastAsia="仿宋"/>
                <w:sz w:val="32"/>
                <w:szCs w:val="32"/>
              </w:rPr>
            </w:pPr>
            <w:r>
              <w:rPr>
                <w:rFonts w:ascii="仿宋" w:hAnsi="仿宋" w:eastAsia="仿宋"/>
                <w:sz w:val="32"/>
                <w:szCs w:val="32"/>
              </w:rPr>
              <w:t>商务评分</w:t>
            </w:r>
          </w:p>
        </w:tc>
        <w:tc>
          <w:tcPr>
            <w:tcW w:w="5571" w:type="dxa"/>
            <w:vAlign w:val="center"/>
          </w:tcPr>
          <w:p>
            <w:pPr>
              <w:spacing w:line="440" w:lineRule="exact"/>
              <w:jc w:val="left"/>
              <w:rPr>
                <w:rFonts w:ascii="仿宋" w:hAnsi="仿宋" w:eastAsia="仿宋"/>
                <w:sz w:val="32"/>
                <w:szCs w:val="32"/>
              </w:rPr>
            </w:pPr>
            <w:r>
              <w:rPr>
                <w:rFonts w:ascii="仿宋" w:hAnsi="仿宋" w:eastAsia="仿宋"/>
                <w:sz w:val="32"/>
                <w:szCs w:val="32"/>
              </w:rPr>
              <w:t>商务评分以最终投标总价为计算依据。</w:t>
            </w:r>
          </w:p>
          <w:p>
            <w:pPr>
              <w:spacing w:line="440" w:lineRule="exact"/>
              <w:jc w:val="left"/>
              <w:rPr>
                <w:rFonts w:ascii="仿宋" w:hAnsi="仿宋" w:eastAsia="仿宋"/>
                <w:sz w:val="32"/>
                <w:szCs w:val="32"/>
              </w:rPr>
            </w:pPr>
            <w:r>
              <w:rPr>
                <w:rFonts w:ascii="仿宋" w:hAnsi="仿宋" w:eastAsia="仿宋"/>
                <w:sz w:val="32"/>
                <w:szCs w:val="32"/>
              </w:rPr>
              <w:t>最终投标总价最低者得100分；</w:t>
            </w:r>
          </w:p>
          <w:p>
            <w:pPr>
              <w:spacing w:line="440" w:lineRule="exact"/>
              <w:jc w:val="left"/>
              <w:rPr>
                <w:rFonts w:ascii="仿宋" w:hAnsi="仿宋" w:eastAsia="仿宋"/>
                <w:sz w:val="32"/>
                <w:szCs w:val="32"/>
              </w:rPr>
            </w:pPr>
            <w:r>
              <w:rPr>
                <w:rFonts w:ascii="仿宋" w:hAnsi="仿宋" w:eastAsia="仿宋"/>
                <w:sz w:val="32"/>
                <w:szCs w:val="32"/>
              </w:rPr>
              <w:t>最终投标总价最高者得X分；</w:t>
            </w:r>
          </w:p>
          <w:p>
            <w:pPr>
              <w:spacing w:line="440" w:lineRule="exact"/>
              <w:jc w:val="left"/>
              <w:rPr>
                <w:rFonts w:ascii="仿宋" w:hAnsi="仿宋" w:eastAsia="仿宋"/>
                <w:sz w:val="32"/>
                <w:szCs w:val="32"/>
              </w:rPr>
            </w:pPr>
            <w:r>
              <w:rPr>
                <w:rFonts w:ascii="仿宋" w:hAnsi="仿宋" w:eastAsia="仿宋"/>
                <w:sz w:val="32"/>
                <w:szCs w:val="32"/>
              </w:rPr>
              <w:t>X=100*最低最终投标总价/最高最终投标总价；</w:t>
            </w:r>
          </w:p>
          <w:p>
            <w:pPr>
              <w:spacing w:line="440" w:lineRule="exact"/>
              <w:jc w:val="left"/>
              <w:rPr>
                <w:rFonts w:ascii="仿宋" w:hAnsi="仿宋" w:eastAsia="仿宋"/>
                <w:sz w:val="32"/>
                <w:szCs w:val="32"/>
              </w:rPr>
            </w:pPr>
            <w:r>
              <w:rPr>
                <w:rFonts w:ascii="仿宋" w:hAnsi="仿宋" w:eastAsia="仿宋"/>
                <w:sz w:val="32"/>
                <w:szCs w:val="32"/>
              </w:rPr>
              <w:t>最终投标总价介于最高最终投标总价和最低最终投标总价之间的投标者得分=100-（最终投标总价-最低最终投标总价）*（100-X）/（最高最终投标总价-最低最终投标总价）</w:t>
            </w:r>
          </w:p>
        </w:tc>
        <w:tc>
          <w:tcPr>
            <w:tcW w:w="1015" w:type="dxa"/>
            <w:vAlign w:val="center"/>
          </w:tcPr>
          <w:p>
            <w:pPr>
              <w:spacing w:line="440" w:lineRule="exact"/>
              <w:jc w:val="center"/>
              <w:rPr>
                <w:rFonts w:ascii="仿宋" w:hAnsi="仿宋" w:eastAsia="仿宋"/>
                <w:sz w:val="32"/>
                <w:szCs w:val="32"/>
              </w:rPr>
            </w:pPr>
            <w:r>
              <w:rPr>
                <w:rFonts w:ascii="仿宋" w:hAnsi="仿宋" w:eastAsia="仿宋"/>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jc w:val="center"/>
        </w:trPr>
        <w:tc>
          <w:tcPr>
            <w:tcW w:w="907" w:type="dxa"/>
            <w:vAlign w:val="center"/>
          </w:tcPr>
          <w:p>
            <w:pPr>
              <w:spacing w:line="440" w:lineRule="exact"/>
              <w:jc w:val="center"/>
              <w:rPr>
                <w:rFonts w:ascii="仿宋" w:hAnsi="仿宋" w:eastAsia="仿宋"/>
                <w:sz w:val="32"/>
                <w:szCs w:val="32"/>
              </w:rPr>
            </w:pPr>
          </w:p>
          <w:p>
            <w:pPr>
              <w:spacing w:line="440" w:lineRule="exact"/>
              <w:jc w:val="center"/>
              <w:rPr>
                <w:rFonts w:ascii="仿宋" w:hAnsi="仿宋" w:eastAsia="仿宋"/>
                <w:sz w:val="32"/>
                <w:szCs w:val="32"/>
              </w:rPr>
            </w:pPr>
            <w:r>
              <w:rPr>
                <w:rFonts w:ascii="仿宋" w:hAnsi="仿宋" w:eastAsia="仿宋"/>
                <w:sz w:val="32"/>
                <w:szCs w:val="32"/>
              </w:rPr>
              <w:t>2</w:t>
            </w:r>
          </w:p>
        </w:tc>
        <w:tc>
          <w:tcPr>
            <w:tcW w:w="1029" w:type="dxa"/>
            <w:vAlign w:val="center"/>
          </w:tcPr>
          <w:p>
            <w:pPr>
              <w:spacing w:line="440" w:lineRule="exact"/>
              <w:jc w:val="center"/>
              <w:rPr>
                <w:rFonts w:ascii="仿宋" w:hAnsi="仿宋" w:eastAsia="仿宋"/>
                <w:sz w:val="32"/>
                <w:szCs w:val="32"/>
              </w:rPr>
            </w:pPr>
            <w:r>
              <w:rPr>
                <w:rFonts w:ascii="仿宋" w:hAnsi="仿宋" w:eastAsia="仿宋"/>
                <w:sz w:val="32"/>
                <w:szCs w:val="32"/>
              </w:rPr>
              <w:t>技术评分</w:t>
            </w:r>
          </w:p>
        </w:tc>
        <w:tc>
          <w:tcPr>
            <w:tcW w:w="5571" w:type="dxa"/>
            <w:vAlign w:val="center"/>
          </w:tcPr>
          <w:p>
            <w:pPr>
              <w:spacing w:line="440" w:lineRule="exact"/>
              <w:jc w:val="left"/>
              <w:rPr>
                <w:rFonts w:ascii="仿宋" w:hAnsi="仿宋" w:eastAsia="仿宋"/>
                <w:sz w:val="32"/>
                <w:szCs w:val="32"/>
              </w:rPr>
            </w:pPr>
            <w:r>
              <w:rPr>
                <w:rFonts w:ascii="仿宋" w:hAnsi="仿宋" w:eastAsia="仿宋"/>
                <w:sz w:val="32"/>
                <w:szCs w:val="32"/>
              </w:rPr>
              <w:t>从组织机构、现场踏勘、服务方案、安全保障措施、应急预案、人员培训方案等方面对投标人的技术标进行评比。其中组织机构需提供公司资质、其它企业合作经历及固定员工数量证明材料。其余评分项则根据相应报告或方案明细进行评比。</w:t>
            </w:r>
          </w:p>
          <w:p>
            <w:pPr>
              <w:spacing w:line="440" w:lineRule="exact"/>
              <w:jc w:val="left"/>
              <w:rPr>
                <w:rFonts w:ascii="仿宋" w:hAnsi="仿宋" w:eastAsia="仿宋"/>
                <w:sz w:val="32"/>
                <w:szCs w:val="32"/>
              </w:rPr>
            </w:pPr>
            <w:r>
              <w:rPr>
                <w:rFonts w:ascii="仿宋" w:hAnsi="仿宋" w:eastAsia="仿宋"/>
                <w:sz w:val="32"/>
                <w:szCs w:val="32"/>
              </w:rPr>
              <w:t>以甲方评分小组评比结果为准</w:t>
            </w:r>
          </w:p>
        </w:tc>
        <w:tc>
          <w:tcPr>
            <w:tcW w:w="1015" w:type="dxa"/>
            <w:vAlign w:val="center"/>
          </w:tcPr>
          <w:p>
            <w:pPr>
              <w:spacing w:line="440" w:lineRule="exact"/>
              <w:jc w:val="center"/>
              <w:rPr>
                <w:rFonts w:ascii="仿宋" w:hAnsi="仿宋" w:eastAsia="仿宋"/>
                <w:sz w:val="32"/>
                <w:szCs w:val="32"/>
              </w:rPr>
            </w:pPr>
            <w:r>
              <w:rPr>
                <w:rFonts w:ascii="仿宋" w:hAnsi="仿宋" w:eastAsia="仿宋"/>
                <w:sz w:val="32"/>
                <w:szCs w:val="32"/>
              </w:rPr>
              <w:t>30</w:t>
            </w:r>
          </w:p>
        </w:tc>
      </w:tr>
    </w:tbl>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投标报价说明</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第一轮投标后，甲方对各投标人的技术投标现场答疑后，进行第二轮现场投标/议标</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如投标价中的最低价低于或等于甲方项目的预算，甲方当场宣布开标结果并确定中标人</w:t>
      </w:r>
      <w:r>
        <w:rPr>
          <w:rFonts w:hint="eastAsia" w:ascii="仿宋" w:hAnsi="仿宋" w:eastAsia="仿宋" w:cs="Times New Roman"/>
          <w:sz w:val="32"/>
          <w:szCs w:val="32"/>
        </w:rPr>
        <w:t>；</w:t>
      </w:r>
      <w:r>
        <w:rPr>
          <w:rFonts w:ascii="Times New Roman" w:hAnsi="Times New Roman" w:eastAsia="仿宋" w:cs="Times New Roman"/>
          <w:sz w:val="32"/>
          <w:szCs w:val="32"/>
        </w:rPr>
        <w:t>如投标价中的最低价超过甲方项目预算，甲方再公布当次开标结果后可要求再次进行现场投标/议标，但投标次数不超过三次。如第三次投标价中的最低价高于甲方项目的预算，甲方在宣布开标结果后，本次投标结束，项目的后续工作待定。</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十一、</w:t>
      </w:r>
      <w:r>
        <w:rPr>
          <w:rFonts w:ascii="黑体" w:hAnsi="黑体" w:eastAsia="黑体" w:cs="Times New Roman"/>
          <w:b/>
          <w:sz w:val="32"/>
          <w:szCs w:val="32"/>
        </w:rPr>
        <w:t>中标通知</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推荐中标后选人名单。按评审后得分由高到低的排列顺序推荐综合得分排名前三的投标人为本项目中标候选人，排名第一的为第一中标候选人。若综合分得分相同的，按投标报价由低到高顺序排列；若综合得分且投标报价相同的，按技术指标优劣顺序排列；若综合得分、投标报价、技术指标均相同的，按商务部分的优劣顺序排列。</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甲方以邮件方式或其它书面方式向中标公司发出中标通知书，发出后即生效。</w:t>
      </w:r>
    </w:p>
    <w:p>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十二、</w:t>
      </w:r>
      <w:r>
        <w:rPr>
          <w:rFonts w:ascii="黑体" w:hAnsi="黑体" w:eastAsia="黑体" w:cs="Times New Roman"/>
          <w:b/>
          <w:sz w:val="32"/>
          <w:szCs w:val="32"/>
        </w:rPr>
        <w:t>退出机制</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质量问题退出机制</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中标单位未按照国家规范、相关设计图纸、技术方案实施，造成返工情况，无条件退出，且没收履约保证金。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中标单位未按照国家规范、相关设计图纸、技术方案实施，造成维修情况，累计3个项目出现维修，无条件退出，且没收履约保证金。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中标单位未按照国家规范、相关设计图纸、技术方案实施，不服从甲方现场管理人员监督管理，无条件退出，且没收履约保证金。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安全问题退出机制</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中标单位未按国家安全规范要求设置安全设施和保护措施，累计三项，无条件退出，且没收履约保证金。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中标单位被甲方安全部门安全同步两项，无条件退出，且没收履约保证金。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中标单位未采取安全措施、造成人员或其他人员伤亡事故，中标单位承担所有责任外，无条件退出，且没收履约保证金。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中标单位人员未遵守甲方内部安全管理等制度，出现打架斗殴等事件，无条件退出，且没收履约保证金。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中标单位除承担以上退出机制外，还需承担以下违约金：</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在甲方现场因中标单位的原因出现违章或不按甲方管理规定执行的行为，甲方视情节轻重有权要求中标单位按照2000-5000元/次支付违约金；造成甲方或中标单位或第三方轻伤事故的，甲方有权要求中标单位按照10000元/次支付违约金；造成甲方或中标单位或第三方重伤事故的，甲方有权要求中标单位按照50000元/次支付违约金；造成甲方或中标单位或第三方重伤事故的，甲方有权要求中标单位按照100000元/次支付违约金；甲方有权从合同款项中直接扣除违约金。</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除不可抗力外，无论何种原因中标单位未按合同相关条款履行，无条件退出，且没收履约保证金。</w:t>
      </w:r>
    </w:p>
    <w:p>
      <w:pPr>
        <w:spacing w:line="600" w:lineRule="exact"/>
        <w:ind w:firstLine="640" w:firstLineChars="200"/>
        <w:rPr>
          <w:rFonts w:hint="eastAsia"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附件一：格式报价书</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附件二：技术要求</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附件三：投标保证金说明</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附件四：授权委托书格式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附件五：法定代表人身份证明书格式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附件六：投标人资格审查信息</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pStyle w:val="2"/>
      </w:pPr>
    </w:p>
    <w:p>
      <w:pPr>
        <w:spacing w:line="600" w:lineRule="exact"/>
        <w:ind w:firstLine="640" w:firstLineChars="200"/>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78"/>
    <w:rsid w:val="00050C78"/>
    <w:rsid w:val="000824BC"/>
    <w:rsid w:val="000929C2"/>
    <w:rsid w:val="000D3CCD"/>
    <w:rsid w:val="001051BA"/>
    <w:rsid w:val="00132D31"/>
    <w:rsid w:val="00146E71"/>
    <w:rsid w:val="001A1CF0"/>
    <w:rsid w:val="001C25F0"/>
    <w:rsid w:val="00222DB1"/>
    <w:rsid w:val="0022499B"/>
    <w:rsid w:val="002C3676"/>
    <w:rsid w:val="002D3860"/>
    <w:rsid w:val="00315C12"/>
    <w:rsid w:val="00337F76"/>
    <w:rsid w:val="00345025"/>
    <w:rsid w:val="00367B98"/>
    <w:rsid w:val="003D4600"/>
    <w:rsid w:val="003E1807"/>
    <w:rsid w:val="00423DAC"/>
    <w:rsid w:val="0045527E"/>
    <w:rsid w:val="004C7562"/>
    <w:rsid w:val="0053127E"/>
    <w:rsid w:val="005749C3"/>
    <w:rsid w:val="00590C43"/>
    <w:rsid w:val="005979D1"/>
    <w:rsid w:val="005C53FB"/>
    <w:rsid w:val="006215E7"/>
    <w:rsid w:val="00636783"/>
    <w:rsid w:val="006432F1"/>
    <w:rsid w:val="006F6878"/>
    <w:rsid w:val="007313CC"/>
    <w:rsid w:val="007674FD"/>
    <w:rsid w:val="007C6744"/>
    <w:rsid w:val="008416D4"/>
    <w:rsid w:val="00846FA2"/>
    <w:rsid w:val="0093179E"/>
    <w:rsid w:val="00994BD6"/>
    <w:rsid w:val="009C0FE2"/>
    <w:rsid w:val="00A849F8"/>
    <w:rsid w:val="00AA7126"/>
    <w:rsid w:val="00B0174C"/>
    <w:rsid w:val="00C31869"/>
    <w:rsid w:val="00CE2138"/>
    <w:rsid w:val="00D11540"/>
    <w:rsid w:val="00DD2AA7"/>
    <w:rsid w:val="00DE3917"/>
    <w:rsid w:val="00E01F49"/>
    <w:rsid w:val="00E91AE0"/>
    <w:rsid w:val="00EF2264"/>
    <w:rsid w:val="00F31EEE"/>
    <w:rsid w:val="00F821C7"/>
    <w:rsid w:val="00FD3D9F"/>
    <w:rsid w:val="00FD5F3C"/>
    <w:rsid w:val="01601EDA"/>
    <w:rsid w:val="08D54C4D"/>
    <w:rsid w:val="0E554A9F"/>
    <w:rsid w:val="104F3973"/>
    <w:rsid w:val="1D713AB7"/>
    <w:rsid w:val="1E5759B9"/>
    <w:rsid w:val="22B51897"/>
    <w:rsid w:val="275B4CE9"/>
    <w:rsid w:val="2A5D26B8"/>
    <w:rsid w:val="2C8E4E51"/>
    <w:rsid w:val="3092362A"/>
    <w:rsid w:val="3C8B7826"/>
    <w:rsid w:val="448F1D4F"/>
    <w:rsid w:val="4F056C7A"/>
    <w:rsid w:val="50C75F6A"/>
    <w:rsid w:val="593F60F9"/>
    <w:rsid w:val="5B2E3F40"/>
    <w:rsid w:val="659B2564"/>
    <w:rsid w:val="71C00442"/>
    <w:rsid w:val="73DE6A32"/>
    <w:rsid w:val="7499513D"/>
    <w:rsid w:val="7660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djustRightInd w:val="0"/>
      <w:snapToGrid w:val="0"/>
      <w:spacing w:line="360" w:lineRule="auto"/>
    </w:pPr>
    <w:rPr>
      <w:rFonts w:ascii="宋体" w:hAnsi="Courier New"/>
    </w:rPr>
  </w:style>
  <w:style w:type="paragraph" w:styleId="3">
    <w:name w:val="annotation text"/>
    <w:basedOn w:val="1"/>
    <w:link w:val="15"/>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NormalCharacter"/>
    <w:semiHidden/>
    <w:qFormat/>
    <w:uiPriority w:val="0"/>
  </w:style>
  <w:style w:type="character" w:customStyle="1" w:styleId="14">
    <w:name w:val="批注框文本 Char"/>
    <w:basedOn w:val="11"/>
    <w:link w:val="4"/>
    <w:qFormat/>
    <w:uiPriority w:val="0"/>
    <w:rPr>
      <w:rFonts w:asciiTheme="minorHAnsi" w:hAnsiTheme="minorHAnsi" w:eastAsiaTheme="minorEastAsia" w:cstheme="minorBidi"/>
      <w:kern w:val="2"/>
      <w:sz w:val="18"/>
      <w:szCs w:val="18"/>
    </w:rPr>
  </w:style>
  <w:style w:type="character" w:customStyle="1" w:styleId="15">
    <w:name w:val="批注文字 Char"/>
    <w:basedOn w:val="11"/>
    <w:link w:val="3"/>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8"/>
    <w:qFormat/>
    <w:uiPriority w:val="0"/>
    <w:rPr>
      <w:rFonts w:asciiTheme="minorHAnsi" w:hAnsiTheme="minorHAnsi" w:eastAsiaTheme="minorEastAsia" w:cstheme="minorBidi"/>
      <w:b/>
      <w:bCs/>
      <w:kern w:val="2"/>
      <w:sz w:val="21"/>
      <w:szCs w:val="24"/>
    </w:rPr>
  </w:style>
  <w:style w:type="character" w:customStyle="1" w:styleId="17">
    <w:name w:val="页眉 Char"/>
    <w:basedOn w:val="11"/>
    <w:link w:val="6"/>
    <w:qFormat/>
    <w:uiPriority w:val="0"/>
    <w:rPr>
      <w:rFonts w:asciiTheme="minorHAnsi" w:hAnsiTheme="minorHAnsi" w:eastAsiaTheme="minorEastAsia" w:cstheme="minorBidi"/>
      <w:kern w:val="2"/>
      <w:sz w:val="18"/>
      <w:szCs w:val="18"/>
    </w:rPr>
  </w:style>
  <w:style w:type="character" w:customStyle="1" w:styleId="18">
    <w:name w:val="页脚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C3FCB-DD81-4D01-8241-2955DAC0A61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32</Pages>
  <Words>1855</Words>
  <Characters>10579</Characters>
  <Lines>88</Lines>
  <Paragraphs>24</Paragraphs>
  <TotalTime>1</TotalTime>
  <ScaleCrop>false</ScaleCrop>
  <LinksUpToDate>false</LinksUpToDate>
  <CharactersWithSpaces>12410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2022-02-22T08:24:00Z</dcterms:created>
  <dc:creator>德勤</dc:creator>
  <cp:lastModifiedBy>吴娟</cp:lastModifiedBy>
  <dcterms:modified xsi:type="dcterms:W3CDTF">2022-03-09T08:46:03Z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C398A45140744E11A0EDFF51B40DDC8C</vt:lpwstr>
  </property>
</Properties>
</file>